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sz w:val="40"/>
          <w:szCs w:val="40"/>
          <w:rtl w:val="0"/>
        </w:rPr>
        <w:t xml:space="preserve">Establishing Boundaries -</w:t>
      </w:r>
      <w:r w:rsidDel="00000000" w:rsidR="00000000" w:rsidRPr="00000000">
        <w:rPr>
          <w:rFonts w:ascii="Merriweather" w:cs="Merriweather" w:eastAsia="Merriweather" w:hAnsi="Merriweather"/>
          <w:sz w:val="30"/>
          <w:szCs w:val="30"/>
          <w:rtl w:val="0"/>
        </w:rPr>
        <w:t xml:space="preserve"> Learning how to say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Think of 3 times when your worry of disappointing others interfered with you setting boundaries for yourself. Briefly describe them.</w:t>
      </w:r>
    </w:p>
    <w:tbl>
      <w:tblPr>
        <w:tblStyle w:val="Table1"/>
        <w:tblpPr w:leftFromText="180" w:rightFromText="180" w:topFromText="180" w:bottomFromText="180" w:vertAnchor="text" w:horzAnchor="text" w:tblpX="705" w:tblpY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are you afraid of happening if you set boundaries? Write them down even if they don’t immediately make sense.</w:t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is not setting concrete boundaries affecting you?</w:t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would I feel if I communicated my boundaries? Imagine the scenarios from question 1, and write down a way to communicate your boundaries if those situations arise again.</w:t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Now write down a positive affirmation (or more) for the future  that encourages you: </w:t>
      </w:r>
    </w:p>
    <w:p w:rsidR="00000000" w:rsidDel="00000000" w:rsidP="00000000" w:rsidRDefault="00000000" w:rsidRPr="00000000" w14:paraId="00000020">
      <w:pPr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1009.619999999999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i w:val="1"/>
      </w:rPr>
    </w:pPr>
    <w:r w:rsidDel="00000000" w:rsidR="00000000" w:rsidRPr="00000000">
      <w:rPr>
        <w:i w:val="1"/>
        <w:rtl w:val="0"/>
      </w:rPr>
      <w:t xml:space="preserve">@MentalOptimist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